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 TSG-RAN WG4 Meeting #</w:t>
      </w:r>
      <w:r>
        <w:rPr>
          <w:rFonts w:hint="eastAsia" w:ascii="Arial" w:hAnsi="Arial" w:eastAsia="宋体" w:cs="Arial"/>
          <w:b/>
          <w:color w:val="auto"/>
          <w:sz w:val="24"/>
          <w:szCs w:val="24"/>
          <w:lang w:val="en-US" w:eastAsia="zh-CN"/>
        </w:rPr>
        <w:t>114bis</w:t>
      </w:r>
      <w:bookmarkStart w:id="1" w:name="_GoBack"/>
      <w:bookmarkEnd w:id="1"/>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504898</w:t>
      </w:r>
    </w:p>
    <w:p w14:paraId="673CA509">
      <w:pPr>
        <w:pStyle w:val="36"/>
        <w:tabs>
          <w:tab w:val="right" w:pos="9781"/>
          <w:tab w:val="right" w:pos="13323"/>
        </w:tabs>
        <w:spacing w:before="60" w:after="60"/>
        <w:outlineLvl w:val="0"/>
        <w:rPr>
          <w:rFonts w:eastAsia="宋体" w:cs="Arial"/>
          <w:color w:val="auto"/>
          <w:sz w:val="24"/>
          <w:szCs w:val="24"/>
          <w:highlight w:val="green"/>
          <w:lang w:eastAsia="zh-CN"/>
        </w:rPr>
      </w:pPr>
      <w:r>
        <w:rPr>
          <w:rFonts w:hint="eastAsia" w:cs="Arial"/>
          <w:color w:val="auto"/>
          <w:sz w:val="24"/>
          <w:szCs w:val="24"/>
          <w:lang w:val="en-US" w:eastAsia="zh-CN"/>
        </w:rPr>
        <w:t>Wuhan</w:t>
      </w:r>
      <w:r>
        <w:rPr>
          <w:rFonts w:cs="Arial"/>
          <w:color w:val="auto"/>
          <w:sz w:val="24"/>
          <w:szCs w:val="24"/>
          <w:lang w:eastAsia="zh-CN"/>
        </w:rPr>
        <w:t xml:space="preserve">, </w:t>
      </w:r>
      <w:r>
        <w:rPr>
          <w:rFonts w:hint="eastAsia" w:cs="Arial"/>
          <w:color w:val="auto"/>
          <w:sz w:val="24"/>
          <w:szCs w:val="24"/>
          <w:lang w:val="en-US" w:eastAsia="zh-CN"/>
        </w:rPr>
        <w:t>China</w:t>
      </w:r>
      <w:r>
        <w:rPr>
          <w:rFonts w:cs="Arial"/>
          <w:color w:val="auto"/>
          <w:sz w:val="24"/>
          <w:szCs w:val="24"/>
          <w:lang w:eastAsia="zh-CN"/>
        </w:rPr>
        <w:t>, 7</w:t>
      </w:r>
      <w:r>
        <w:rPr>
          <w:rFonts w:cs="Arial"/>
          <w:color w:val="auto"/>
          <w:sz w:val="24"/>
          <w:szCs w:val="24"/>
          <w:vertAlign w:val="superscript"/>
          <w:lang w:eastAsia="zh-CN"/>
        </w:rPr>
        <w:t>th</w:t>
      </w:r>
      <w:r>
        <w:rPr>
          <w:rFonts w:cs="Arial"/>
          <w:color w:val="auto"/>
          <w:sz w:val="24"/>
          <w:szCs w:val="24"/>
          <w:lang w:eastAsia="zh-CN"/>
        </w:rPr>
        <w:t xml:space="preserve"> – </w:t>
      </w:r>
      <w:r>
        <w:rPr>
          <w:rFonts w:hint="eastAsia" w:cs="Arial"/>
          <w:color w:val="auto"/>
          <w:sz w:val="24"/>
          <w:szCs w:val="24"/>
          <w:lang w:val="en-US" w:eastAsia="zh-CN"/>
        </w:rPr>
        <w:t>1</w:t>
      </w:r>
      <w:r>
        <w:rPr>
          <w:rFonts w:cs="Arial"/>
          <w:color w:val="auto"/>
          <w:sz w:val="24"/>
          <w:szCs w:val="24"/>
          <w:lang w:eastAsia="zh-CN"/>
        </w:rPr>
        <w:t>1</w:t>
      </w:r>
      <w:r>
        <w:rPr>
          <w:rFonts w:cs="Arial"/>
          <w:color w:val="auto"/>
          <w:sz w:val="24"/>
          <w:szCs w:val="24"/>
          <w:vertAlign w:val="superscript"/>
          <w:lang w:eastAsia="zh-CN"/>
        </w:rPr>
        <w:t>t</w:t>
      </w:r>
      <w:r>
        <w:rPr>
          <w:rFonts w:hint="eastAsia" w:cs="Arial"/>
          <w:color w:val="auto"/>
          <w:sz w:val="24"/>
          <w:szCs w:val="24"/>
          <w:vertAlign w:val="superscript"/>
          <w:lang w:val="en-US" w:eastAsia="zh-CN"/>
        </w:rPr>
        <w:t>h</w:t>
      </w:r>
      <w:r>
        <w:rPr>
          <w:rFonts w:cs="Arial"/>
          <w:color w:val="auto"/>
          <w:sz w:val="24"/>
          <w:szCs w:val="24"/>
          <w:lang w:eastAsia="zh-CN"/>
        </w:rPr>
        <w:t xml:space="preserve"> </w:t>
      </w:r>
      <w:r>
        <w:rPr>
          <w:rFonts w:hint="eastAsia" w:cs="Arial"/>
          <w:color w:val="auto"/>
          <w:sz w:val="24"/>
          <w:szCs w:val="24"/>
          <w:lang w:val="en-US" w:eastAsia="zh-CN"/>
        </w:rPr>
        <w:t>April</w:t>
      </w:r>
      <w:r>
        <w:rPr>
          <w:rFonts w:cs="Arial"/>
          <w:color w:val="auto"/>
          <w:sz w:val="24"/>
          <w:szCs w:val="24"/>
          <w:lang w:eastAsia="zh-CN"/>
        </w:rPr>
        <w:t>, 2025</w:t>
      </w:r>
    </w:p>
    <w:p w14:paraId="6DE4AA74">
      <w:pPr>
        <w:tabs>
          <w:tab w:val="right" w:pos="10440"/>
          <w:tab w:val="right" w:pos="13323"/>
        </w:tabs>
        <w:spacing w:after="240" w:afterLines="100"/>
        <w:rPr>
          <w:rFonts w:ascii="Arial" w:hAnsi="Arial" w:cs="Arial"/>
          <w:b/>
          <w:color w:val="auto"/>
          <w:sz w:val="24"/>
          <w:szCs w:val="24"/>
          <w:lang w:val="en-US" w:eastAsia="zh-CN"/>
        </w:rPr>
      </w:pPr>
    </w:p>
    <w:p w14:paraId="42DC7E18">
      <w:pPr>
        <w:tabs>
          <w:tab w:val="left" w:pos="1985"/>
        </w:tabs>
        <w:jc w:val="both"/>
        <w:rPr>
          <w:rFonts w:ascii="Arial" w:hAnsi="Arial" w:cs="Arial"/>
          <w:b/>
          <w:color w:val="auto"/>
          <w:sz w:val="22"/>
          <w:lang w:val="en-US" w:eastAsia="zh-CN"/>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color w:val="auto"/>
          <w:sz w:val="22"/>
          <w:lang w:val="en-US" w:eastAsia="zh-CN"/>
        </w:rPr>
        <w:t>WF on RRM requirements for NR_ATG_enh</w:t>
      </w:r>
    </w:p>
    <w:p w14:paraId="21F6F9CE">
      <w:pPr>
        <w:tabs>
          <w:tab w:val="left" w:pos="1985"/>
        </w:tabs>
        <w:jc w:val="both"/>
        <w:rPr>
          <w:rFonts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7.12.7</w:t>
      </w:r>
    </w:p>
    <w:p w14:paraId="625E059D">
      <w:pPr>
        <w:tabs>
          <w:tab w:val="left" w:pos="1985"/>
        </w:tabs>
        <w:jc w:val="both"/>
        <w:rPr>
          <w:rFonts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CMCC</w:t>
      </w:r>
    </w:p>
    <w:p w14:paraId="07E610BB">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14:paraId="346DD53C">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RRM core requirement</w:t>
      </w:r>
    </w:p>
    <w:p w14:paraId="06F7D1AC">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 xml:space="preserve">Issue 1-1-2: </w:t>
      </w:r>
      <w:bookmarkStart w:id="0" w:name="OLE_LINK5"/>
      <w:r>
        <w:rPr>
          <w:rFonts w:hint="default" w:ascii="Times New Roman" w:hAnsi="Times New Roman" w:cs="Times New Roman"/>
          <w:b/>
          <w:color w:val="auto"/>
          <w:sz w:val="20"/>
          <w:szCs w:val="20"/>
          <w:u w:val="single"/>
          <w:lang w:val="en-US" w:eastAsia="zh-CN"/>
        </w:rPr>
        <w:t>UE Beam Type capability signaling</w:t>
      </w:r>
      <w:bookmarkEnd w:id="0"/>
    </w:p>
    <w:p w14:paraId="66137809">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1-1-2-1: The description of capability definition</w:t>
      </w:r>
    </w:p>
    <w:p w14:paraId="601A5D09">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0E260FB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Indicates whether the UE supports one common Rx beam when UE capable of antennaArrayType-r18 on both PCC and SCC. If the field is absent, UE supports two simultaneous separate Rx beams when UE capable of antennaArrayType-r18 on both PCC and SCC.</w:t>
      </w:r>
    </w:p>
    <w:p w14:paraId="392BB540">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11"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UE indicating support of this feature shall also indicate support of antennaArrayType-r18 on each band of the supported Band combination.</w:t>
      </w:r>
    </w:p>
    <w:p w14:paraId="21CDF4D4">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1-1-2-2: The Report granularity of UE capability</w:t>
      </w:r>
    </w:p>
    <w:p w14:paraId="0B9B69C4">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yellow"/>
          <w:lang w:eastAsia="zh-CN"/>
        </w:rPr>
      </w:pPr>
      <w:r>
        <w:rPr>
          <w:rFonts w:hint="eastAsia" w:eastAsia="宋体" w:cs="Times New Roman"/>
          <w:color w:val="auto"/>
          <w:sz w:val="20"/>
          <w:szCs w:val="20"/>
          <w:highlight w:val="yellow"/>
          <w:lang w:val="en-US" w:eastAsia="zh-CN"/>
        </w:rPr>
        <w:t>FFS</w:t>
      </w:r>
      <w:r>
        <w:rPr>
          <w:rFonts w:hint="default" w:ascii="Times New Roman" w:hAnsi="Times New Roman" w:eastAsia="宋体" w:cs="Times New Roman"/>
          <w:color w:val="auto"/>
          <w:sz w:val="20"/>
          <w:szCs w:val="20"/>
          <w:highlight w:val="yellow"/>
          <w:lang w:eastAsia="zh-CN"/>
        </w:rPr>
        <w:t>:</w:t>
      </w:r>
    </w:p>
    <w:p w14:paraId="76E3B94F">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Per BC</w:t>
      </w:r>
    </w:p>
    <w:p w14:paraId="1A349B38">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1-1-2-3: The Report feature</w:t>
      </w:r>
    </w:p>
    <w:p w14:paraId="1B2C6568">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1484D3D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Conditional mandatory</w:t>
      </w:r>
    </w:p>
    <w:p w14:paraId="5F4C5F5A">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UE indicating support of this feature shall also indicate support of antennaArrayType-r18 on each band [of the supported Band combination]</w:t>
      </w:r>
    </w:p>
    <w:p w14:paraId="442CB21A">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1-1-2-4: The Report functionalities between FDD and TDD</w:t>
      </w:r>
    </w:p>
    <w:p w14:paraId="17CE5D78">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18B9F54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No functionality difference between FDD and TDD</w:t>
      </w:r>
    </w:p>
    <w:p w14:paraId="02DEAA2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FFS how to reflect it on the spec.</w:t>
      </w:r>
    </w:p>
    <w:p w14:paraId="62BAF8A5">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1-1-2-5: The Report functionalities between FR1 and FR2</w:t>
      </w:r>
    </w:p>
    <w:p w14:paraId="4CF0A4FC">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 xml:space="preserve">Agreement: </w:t>
      </w:r>
    </w:p>
    <w:p w14:paraId="401F5FB3">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FR1 only</w:t>
      </w:r>
    </w:p>
    <w:p w14:paraId="72ACECA4">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1-1-5: S</w:t>
      </w:r>
      <w:r>
        <w:rPr>
          <w:rFonts w:hint="default" w:ascii="Times New Roman" w:hAnsi="Times New Roman" w:cs="Times New Roman"/>
          <w:b/>
          <w:color w:val="auto"/>
          <w:sz w:val="20"/>
          <w:szCs w:val="20"/>
          <w:u w:val="single"/>
          <w:lang w:eastAsia="ko-KR"/>
        </w:rPr>
        <w:t>pecification structure</w:t>
      </w:r>
    </w:p>
    <w:p w14:paraId="07E3DE70">
      <w:pPr>
        <w:snapToGrid w:val="0"/>
        <w:spacing w:after="120"/>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Agreement:</w:t>
      </w:r>
    </w:p>
    <w:p w14:paraId="7EE4FB9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Create a new clause for ATG interruption requirement.</w:t>
      </w:r>
    </w:p>
    <w:p w14:paraId="14F360B6">
      <w:pPr>
        <w:snapToGrid w:val="0"/>
        <w:spacing w:after="120"/>
        <w:rPr>
          <w:rFonts w:hint="default" w:ascii="Times New Roman" w:hAnsi="Times New Roman" w:cs="Times New Roman"/>
          <w:b/>
          <w:color w:val="auto"/>
          <w:sz w:val="20"/>
          <w:szCs w:val="20"/>
          <w:u w:val="single"/>
          <w:lang w:val="en-US" w:eastAsia="zh-CN"/>
        </w:rPr>
      </w:pPr>
    </w:p>
    <w:p w14:paraId="6295E4E6">
      <w:pPr>
        <w:snapToGrid w:val="0"/>
        <w:spacing w:after="120"/>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val="en-US" w:eastAsia="zh-CN"/>
        </w:rPr>
        <w:t>Issue 1-2-1: Whether Interruptions at NR SRS carrier based switching requirements need to be introduced</w:t>
      </w:r>
    </w:p>
    <w:p w14:paraId="7BB381F2">
      <w:pPr>
        <w:snapToGrid w:val="0"/>
        <w:spacing w:after="120"/>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 xml:space="preserve">Agreement: </w:t>
      </w:r>
    </w:p>
    <w:p w14:paraId="032074A3">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Don’t introduce NR SRS carrier based switching interruption requirements.</w:t>
      </w:r>
    </w:p>
    <w:p w14:paraId="28B81171">
      <w:pPr>
        <w:rPr>
          <w:rFonts w:hint="default" w:ascii="Times New Roman" w:hAnsi="Times New Roman" w:cs="Times New Roman"/>
          <w:b/>
          <w:color w:val="auto"/>
          <w:sz w:val="20"/>
          <w:szCs w:val="20"/>
          <w:u w:val="single"/>
          <w:lang w:val="en-US" w:eastAsia="zh-CN"/>
        </w:rPr>
      </w:pPr>
    </w:p>
    <w:p w14:paraId="0DCC5F12">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1-2-2: Interruption requirements</w:t>
      </w:r>
    </w:p>
    <w:p w14:paraId="5BFAA72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Proposal</w:t>
      </w:r>
      <w:r>
        <w:rPr>
          <w:rFonts w:hint="eastAsia" w:eastAsia="宋体" w:cs="Times New Roman"/>
          <w:color w:val="auto"/>
          <w:sz w:val="20"/>
          <w:szCs w:val="20"/>
          <w:lang w:val="en-US" w:eastAsia="zh-CN"/>
        </w:rPr>
        <w:t>s</w:t>
      </w:r>
      <w:r>
        <w:rPr>
          <w:rFonts w:hint="default" w:ascii="Times New Roman" w:hAnsi="Times New Roman" w:eastAsia="宋体" w:cs="Times New Roman"/>
          <w:color w:val="auto"/>
          <w:sz w:val="20"/>
          <w:szCs w:val="20"/>
          <w:lang w:val="en-US" w:eastAsia="zh-CN"/>
        </w:rPr>
        <w:t>:</w:t>
      </w:r>
    </w:p>
    <w:p w14:paraId="6EE1B248">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Proposal 1:</w:t>
      </w:r>
    </w:p>
    <w:p w14:paraId="57456169">
      <w:pPr>
        <w:keepNext w:val="0"/>
        <w:keepLines w:val="0"/>
        <w:pageBreakBefore w:val="0"/>
        <w:widowControl/>
        <w:numPr>
          <w:ilvl w:val="2"/>
          <w:numId w:val="1"/>
        </w:numPr>
        <w:tabs>
          <w:tab w:val="left" w:pos="420"/>
          <w:tab w:val="clear" w:pos="-420"/>
        </w:tabs>
        <w:kinsoku/>
        <w:wordWrap/>
        <w:overflowPunct w:val="0"/>
        <w:topLinePunct w:val="0"/>
        <w:autoSpaceDE w:val="0"/>
        <w:autoSpaceDN w:val="0"/>
        <w:bidi w:val="0"/>
        <w:adjustRightInd w:val="0"/>
        <w:snapToGrid/>
        <w:spacing w:after="120"/>
        <w:ind w:left="156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For the interruptions caused by SCell addition/release and any types of SCell activation/deactivation, distinguish the interruption requirements for Category 1 and 2.</w:t>
      </w:r>
    </w:p>
    <w:p w14:paraId="5C03A8D7">
      <w:pPr>
        <w:keepNext w:val="0"/>
        <w:keepLines w:val="0"/>
        <w:pageBreakBefore w:val="0"/>
        <w:widowControl/>
        <w:numPr>
          <w:ilvl w:val="3"/>
          <w:numId w:val="1"/>
        </w:numPr>
        <w:tabs>
          <w:tab w:val="left" w:pos="420"/>
          <w:tab w:val="clear" w:pos="-420"/>
        </w:tabs>
        <w:kinsoku/>
        <w:wordWrap/>
        <w:overflowPunct w:val="0"/>
        <w:topLinePunct w:val="0"/>
        <w:autoSpaceDE w:val="0"/>
        <w:autoSpaceDN w:val="0"/>
        <w:bidi w:val="0"/>
        <w:adjustRightInd w:val="0"/>
        <w:snapToGrid/>
        <w:spacing w:after="120"/>
        <w:ind w:left="198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Category 1: antenna array assumption in intra-band CA and Case 4 in inter-band CA</w:t>
      </w:r>
    </w:p>
    <w:p w14:paraId="227651C2">
      <w:pPr>
        <w:keepNext w:val="0"/>
        <w:keepLines w:val="0"/>
        <w:pageBreakBefore w:val="0"/>
        <w:widowControl/>
        <w:numPr>
          <w:ilvl w:val="3"/>
          <w:numId w:val="1"/>
        </w:numPr>
        <w:tabs>
          <w:tab w:val="left" w:pos="420"/>
          <w:tab w:val="clear" w:pos="-420"/>
        </w:tabs>
        <w:kinsoku/>
        <w:wordWrap/>
        <w:overflowPunct w:val="0"/>
        <w:topLinePunct w:val="0"/>
        <w:autoSpaceDE w:val="0"/>
        <w:autoSpaceDN w:val="0"/>
        <w:bidi w:val="0"/>
        <w:adjustRightInd w:val="0"/>
        <w:snapToGrid/>
        <w:spacing w:after="120"/>
        <w:ind w:left="198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Category 2: other cases</w:t>
      </w:r>
    </w:p>
    <w:p w14:paraId="5D394C90">
      <w:pPr>
        <w:keepNext w:val="0"/>
        <w:keepLines w:val="0"/>
        <w:pageBreakBefore w:val="0"/>
        <w:widowControl/>
        <w:numPr>
          <w:ilvl w:val="2"/>
          <w:numId w:val="1"/>
        </w:numPr>
        <w:tabs>
          <w:tab w:val="left" w:pos="420"/>
          <w:tab w:val="clear" w:pos="-420"/>
        </w:tabs>
        <w:kinsoku/>
        <w:wordWrap/>
        <w:overflowPunct w:val="0"/>
        <w:topLinePunct w:val="0"/>
        <w:autoSpaceDE w:val="0"/>
        <w:autoSpaceDN w:val="0"/>
        <w:bidi w:val="0"/>
        <w:adjustRightInd w:val="0"/>
        <w:snapToGrid/>
        <w:spacing w:after="120"/>
        <w:ind w:left="156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For other interruptions, define unified interruption requirements for all UE antenna types.</w:t>
      </w:r>
    </w:p>
    <w:p w14:paraId="3B8D8249">
      <w:pPr>
        <w:rPr>
          <w:rFonts w:hint="default" w:ascii="Times New Roman" w:hAnsi="Times New Roman" w:cs="Times New Roman"/>
          <w:b/>
          <w:color w:val="auto"/>
          <w:sz w:val="20"/>
          <w:szCs w:val="20"/>
          <w:u w:val="single"/>
          <w:lang w:val="en-US" w:eastAsia="zh-CN"/>
        </w:rPr>
      </w:pPr>
    </w:p>
    <w:p w14:paraId="4F85F38A">
      <w:pPr>
        <w:rPr>
          <w:rFonts w:hint="default" w:ascii="Times New Roman" w:hAnsi="Times New Roman" w:cs="Times New Roman"/>
          <w:b/>
          <w:color w:val="auto"/>
          <w:sz w:val="20"/>
          <w:szCs w:val="20"/>
          <w:u w:val="single"/>
          <w:lang w:val="en-US" w:eastAsia="zh-CN"/>
        </w:rPr>
      </w:pPr>
      <w:r>
        <w:rPr>
          <w:rFonts w:hint="eastAsia" w:ascii="Times New Roman" w:hAnsi="Times New Roman" w:cs="Times New Roman"/>
          <w:b/>
          <w:color w:val="auto"/>
          <w:sz w:val="20"/>
          <w:szCs w:val="20"/>
          <w:u w:val="single"/>
          <w:lang w:val="en-US" w:eastAsia="zh-CN"/>
        </w:rPr>
        <w:t>Issue 1-2-3: SCell act</w:t>
      </w:r>
      <w:r>
        <w:rPr>
          <w:rFonts w:hint="default" w:ascii="Times New Roman" w:hAnsi="Times New Roman" w:cs="Times New Roman"/>
          <w:b/>
          <w:color w:val="auto"/>
          <w:sz w:val="20"/>
          <w:szCs w:val="20"/>
          <w:u w:val="single"/>
          <w:lang w:val="en-US" w:eastAsia="zh-CN"/>
        </w:rPr>
        <w:t>ivation delay enhancement</w:t>
      </w:r>
    </w:p>
    <w:p w14:paraId="5C9A97D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Proposals</w:t>
      </w:r>
    </w:p>
    <w:p w14:paraId="0F1A5C80">
      <w:pPr>
        <w:pStyle w:val="72"/>
        <w:numPr>
          <w:ilvl w:val="1"/>
          <w:numId w:val="1"/>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lang w:val="en-US" w:eastAsia="zh-CN"/>
        </w:rPr>
        <w:t>Proposal 1: If the target S</w:t>
      </w:r>
      <w:r>
        <w:rPr>
          <w:rFonts w:hint="default" w:ascii="Times New Roman" w:hAnsi="Times New Roman" w:eastAsia="宋体" w:cs="Times New Roman"/>
          <w:color w:val="auto"/>
          <w:szCs w:val="24"/>
          <w:highlight w:val="none"/>
          <w:lang w:val="en-US" w:eastAsia="zh-CN"/>
        </w:rPr>
        <w:t xml:space="preserve">Cell is known by the UE and frequency ranges of both bands are less than or equivalent to X MHz with common beam management the </w:t>
      </w:r>
      <w:r>
        <w:rPr>
          <w:rFonts w:hint="default" w:ascii="Times New Roman" w:hAnsi="Times New Roman" w:cs="Times New Roman"/>
          <w:color w:val="auto"/>
          <w:highlight w:val="none"/>
        </w:rPr>
        <w:t>T</w:t>
      </w:r>
      <w:r>
        <w:rPr>
          <w:rFonts w:hint="default" w:ascii="Times New Roman" w:hAnsi="Times New Roman" w:cs="Times New Roman"/>
          <w:color w:val="auto"/>
          <w:highlight w:val="none"/>
          <w:vertAlign w:val="subscript"/>
        </w:rPr>
        <w:t>activation_time</w:t>
      </w:r>
      <w:r>
        <w:rPr>
          <w:rFonts w:hint="default" w:ascii="Times New Roman" w:hAnsi="Times New Roman" w:eastAsia="宋体" w:cs="Times New Roman"/>
          <w:color w:val="auto"/>
          <w:szCs w:val="24"/>
          <w:highlight w:val="none"/>
          <w:vertAlign w:val="subscript"/>
          <w:lang w:val="en-US" w:eastAsia="zh-CN"/>
        </w:rPr>
        <w:t xml:space="preserve"> </w:t>
      </w:r>
      <w:r>
        <w:rPr>
          <w:rFonts w:hint="default" w:ascii="Times New Roman" w:hAnsi="Times New Roman" w:eastAsia="宋体" w:cs="Times New Roman"/>
          <w:color w:val="auto"/>
          <w:szCs w:val="24"/>
          <w:highlight w:val="none"/>
          <w:lang w:val="en-US" w:eastAsia="zh-CN"/>
        </w:rPr>
        <w:t>can be 3ms</w:t>
      </w:r>
    </w:p>
    <w:p w14:paraId="516500A0">
      <w:pPr>
        <w:pStyle w:val="72"/>
        <w:numPr>
          <w:ilvl w:val="1"/>
          <w:numId w:val="1"/>
        </w:numPr>
        <w:overflowPunct/>
        <w:autoSpaceDE/>
        <w:autoSpaceDN/>
        <w:adjustRightInd/>
        <w:spacing w:after="120"/>
        <w:ind w:left="144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t xml:space="preserve">Proposal 2: if the target SCell is unknown, frequency ranges of both bands are less than or equal to X MHz </w:t>
      </w:r>
      <w:r>
        <w:rPr>
          <w:rFonts w:hint="default" w:ascii="Times New Roman" w:hAnsi="Times New Roman" w:cs="Times New Roman"/>
          <w:color w:val="auto"/>
          <w:highlight w:val="none"/>
        </w:rPr>
        <w:t>T</w:t>
      </w:r>
      <w:r>
        <w:rPr>
          <w:rFonts w:hint="default" w:ascii="Times New Roman" w:hAnsi="Times New Roman" w:cs="Times New Roman"/>
          <w:color w:val="auto"/>
          <w:highlight w:val="none"/>
          <w:vertAlign w:val="subscript"/>
        </w:rPr>
        <w:t>activation_time</w:t>
      </w:r>
      <w:r>
        <w:rPr>
          <w:rFonts w:hint="default" w:ascii="Times New Roman" w:hAnsi="Times New Roman" w:eastAsia="宋体" w:cs="Times New Roman"/>
          <w:color w:val="auto"/>
          <w:szCs w:val="24"/>
          <w:highlight w:val="none"/>
          <w:lang w:val="en-US" w:eastAsia="zh-CN"/>
        </w:rPr>
        <w:t xml:space="preserve"> is 3ms+TFirstSSB+ 2ms.</w:t>
      </w:r>
    </w:p>
    <w:p w14:paraId="6296B144">
      <w:pPr>
        <w:rPr>
          <w:rFonts w:hint="default" w:ascii="Times New Roman" w:hAnsi="Times New Roman" w:cs="Times New Roman"/>
          <w:b/>
          <w:color w:val="auto"/>
          <w:sz w:val="20"/>
          <w:szCs w:val="20"/>
          <w:u w:val="single"/>
          <w:lang w:val="en-US" w:eastAsia="zh-CN"/>
        </w:rPr>
      </w:pPr>
    </w:p>
    <w:p w14:paraId="6F5D2256">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1-</w:t>
      </w:r>
      <w:r>
        <w:rPr>
          <w:rFonts w:hint="default" w:ascii="Times New Roman" w:hAnsi="Times New Roman" w:cs="Times New Roman"/>
          <w:b/>
          <w:color w:val="auto"/>
          <w:sz w:val="20"/>
          <w:szCs w:val="20"/>
          <w:u w:val="single"/>
          <w:lang w:val="en-US" w:eastAsia="zh-CN"/>
        </w:rPr>
        <w:t>3-1</w:t>
      </w:r>
      <w:r>
        <w:rPr>
          <w:rFonts w:hint="default" w:ascii="Times New Roman" w:hAnsi="Times New Roman" w:cs="Times New Roman"/>
          <w:b/>
          <w:color w:val="auto"/>
          <w:sz w:val="20"/>
          <w:szCs w:val="20"/>
          <w:u w:val="single"/>
          <w:lang w:eastAsia="ko-KR"/>
        </w:rPr>
        <w:t>: Deactivated SCell measurement</w:t>
      </w:r>
    </w:p>
    <w:p w14:paraId="6A6CE7C8">
      <w:pPr>
        <w:snapToGrid w:val="0"/>
        <w:spacing w:after="120"/>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Agreement:</w:t>
      </w:r>
    </w:p>
    <w:p w14:paraId="34E3D48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等线" w:cs="Times New Roman"/>
          <w:color w:val="auto"/>
          <w:sz w:val="20"/>
          <w:szCs w:val="20"/>
          <w:highlight w:val="none"/>
          <w:lang w:eastAsia="zh-CN"/>
        </w:rPr>
      </w:pPr>
      <w:r>
        <w:rPr>
          <w:rFonts w:hint="default" w:ascii="Times New Roman" w:hAnsi="Times New Roman" w:eastAsia="宋体" w:cs="Times New Roman"/>
          <w:color w:val="auto"/>
          <w:sz w:val="20"/>
          <w:szCs w:val="20"/>
          <w:highlight w:val="none"/>
        </w:rPr>
        <w:t xml:space="preserve">For </w:t>
      </w:r>
      <w:r>
        <w:rPr>
          <w:rFonts w:hint="default" w:ascii="Times New Roman" w:hAnsi="Times New Roman" w:eastAsia="宋体" w:cs="Times New Roman"/>
          <w:color w:val="auto"/>
          <w:sz w:val="20"/>
          <w:szCs w:val="20"/>
          <w:highlight w:val="none"/>
          <w:lang w:val="en-US"/>
        </w:rPr>
        <w:t>intra-band CA and Case 4 of inter-band CA, no need to introduce L1/L3 measurement sharing factor.</w:t>
      </w:r>
    </w:p>
    <w:p w14:paraId="5A61D1D7">
      <w:pPr>
        <w:rPr>
          <w:rFonts w:hint="default" w:ascii="Times New Roman" w:hAnsi="Times New Roman" w:cs="Times New Roman"/>
          <w:b/>
          <w:color w:val="auto"/>
          <w:sz w:val="20"/>
          <w:szCs w:val="20"/>
          <w:u w:val="single"/>
          <w:lang w:val="en-US" w:eastAsia="zh-CN"/>
        </w:rPr>
      </w:pPr>
    </w:p>
    <w:p w14:paraId="6F5ADD5A">
      <w:pPr>
        <w:pStyle w:val="72"/>
        <w:overflowPunct/>
        <w:autoSpaceDE/>
        <w:autoSpaceDN/>
        <w:adjustRightInd/>
        <w:spacing w:after="120"/>
        <w:ind w:firstLine="0" w:firstLineChars="0"/>
        <w:textAlignment w:val="auto"/>
        <w:rPr>
          <w:rFonts w:hint="default" w:ascii="Times New Roman" w:hAnsi="Times New Roman" w:eastAsia="宋体" w:cs="Times New Roman"/>
          <w:b/>
          <w:color w:val="auto"/>
          <w:sz w:val="20"/>
          <w:szCs w:val="20"/>
          <w:u w:val="single"/>
          <w:lang w:val="en-US" w:eastAsia="ko-KR"/>
        </w:rPr>
      </w:pPr>
      <w:r>
        <w:rPr>
          <w:rFonts w:hint="default" w:ascii="Times New Roman" w:hAnsi="Times New Roman" w:eastAsia="宋体" w:cs="Times New Roman"/>
          <w:b/>
          <w:color w:val="auto"/>
          <w:sz w:val="20"/>
          <w:szCs w:val="20"/>
          <w:u w:val="single"/>
          <w:lang w:val="en-US" w:eastAsia="zh-CN"/>
        </w:rPr>
        <w:t>Issue 1-3-2: Sharing factor between L1 measurement and RRM measurement</w:t>
      </w:r>
    </w:p>
    <w:p w14:paraId="00D6FA2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Proposal 1: </w:t>
      </w:r>
    </w:p>
    <w:p w14:paraId="179E6B72">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eastAsiaTheme="minorEastAsia"/>
          <w:bCs/>
          <w:color w:val="auto"/>
          <w:sz w:val="20"/>
          <w:szCs w:val="20"/>
          <w:lang w:eastAsia="ko-KR" w:bidi="ar"/>
        </w:rPr>
      </w:pPr>
      <w:r>
        <w:rPr>
          <w:rFonts w:hint="default" w:ascii="Times New Roman" w:hAnsi="Times New Roman" w:cs="Times New Roman"/>
          <w:color w:val="auto"/>
          <w:sz w:val="20"/>
          <w:szCs w:val="20"/>
          <w:lang w:eastAsia="ko-KR"/>
        </w:rPr>
        <w:t xml:space="preserve">Consider impact on </w:t>
      </w:r>
      <w:r>
        <w:rPr>
          <w:rFonts w:hint="default" w:ascii="Times New Roman" w:hAnsi="Times New Roman" w:cs="Times New Roman"/>
          <w:color w:val="auto"/>
          <w:sz w:val="20"/>
          <w:szCs w:val="20"/>
        </w:rPr>
        <w:t>K</w:t>
      </w:r>
      <w:r>
        <w:rPr>
          <w:rFonts w:hint="default" w:ascii="Times New Roman" w:hAnsi="Times New Roman" w:cs="Times New Roman"/>
          <w:color w:val="auto"/>
          <w:sz w:val="20"/>
          <w:szCs w:val="20"/>
          <w:vertAlign w:val="subscript"/>
        </w:rPr>
        <w:t>layer1_measurement</w:t>
      </w:r>
      <w:r>
        <w:rPr>
          <w:rFonts w:hint="default" w:ascii="Times New Roman" w:hAnsi="Times New Roman" w:cs="Times New Roman"/>
          <w:color w:val="auto"/>
          <w:sz w:val="20"/>
          <w:szCs w:val="20"/>
          <w:lang w:eastAsia="ko-KR"/>
        </w:rPr>
        <w:t xml:space="preserve"> due to 33usec MRTD for Case 4 antenna type, e.g., </w:t>
      </w:r>
    </w:p>
    <w:p w14:paraId="6E1040ED">
      <w:pPr>
        <w:keepNext w:val="0"/>
        <w:keepLines w:val="0"/>
        <w:pageBreakBefore w:val="0"/>
        <w:widowControl/>
        <w:numPr>
          <w:ilvl w:val="2"/>
          <w:numId w:val="1"/>
        </w:numPr>
        <w:tabs>
          <w:tab w:val="left" w:pos="420"/>
          <w:tab w:val="clear" w:pos="-420"/>
        </w:tabs>
        <w:kinsoku/>
        <w:wordWrap/>
        <w:overflowPunct w:val="0"/>
        <w:topLinePunct w:val="0"/>
        <w:autoSpaceDE w:val="0"/>
        <w:autoSpaceDN w:val="0"/>
        <w:bidi w:val="0"/>
        <w:adjustRightInd w:val="0"/>
        <w:snapToGrid/>
        <w:spacing w:after="120"/>
        <w:ind w:left="1566" w:leftChars="0" w:hanging="363"/>
        <w:textAlignment w:val="baseline"/>
        <w:rPr>
          <w:rFonts w:hint="default" w:ascii="Times New Roman" w:hAnsi="Times New Roman" w:cs="Times New Roman" w:eastAsiaTheme="minorEastAsia"/>
          <w:bCs/>
          <w:color w:val="auto"/>
          <w:sz w:val="20"/>
          <w:szCs w:val="20"/>
          <w:lang w:eastAsia="ko-KR" w:bidi="ar"/>
        </w:rPr>
      </w:pPr>
      <w:r>
        <w:rPr>
          <w:rFonts w:hint="default" w:ascii="Times New Roman" w:hAnsi="Times New Roman" w:cs="Times New Roman"/>
          <w:color w:val="auto"/>
          <w:sz w:val="20"/>
          <w:szCs w:val="20"/>
        </w:rPr>
        <w:t>if all of the reference signal configured for RLM, BFD, CBD or L1-RSRP for beam reporting outside measurement gap and fully-overlapped by intra-frequency SMTC occasions are not overlapped with any of the SSB symbols and the RSSI symbols, and</w:t>
      </w:r>
      <w:r>
        <w:rPr>
          <w:rFonts w:hint="default" w:ascii="Times New Roman" w:hAnsi="Times New Roman" w:cs="Times New Roman"/>
          <w:b/>
          <w:bCs/>
          <w:color w:val="auto"/>
          <w:sz w:val="20"/>
          <w:szCs w:val="20"/>
          <w:highlight w:val="none"/>
        </w:rPr>
        <w:t xml:space="preserve"> </w:t>
      </w:r>
      <w:r>
        <w:rPr>
          <w:rFonts w:hint="default" w:ascii="Times New Roman" w:hAnsi="Times New Roman" w:cs="Times New Roman"/>
          <w:b/>
          <w:bCs/>
          <w:color w:val="auto"/>
          <w:sz w:val="20"/>
          <w:szCs w:val="20"/>
          <w:highlight w:val="none"/>
          <w:lang w:eastAsia="ko-KR"/>
        </w:rPr>
        <w:t>2</w:t>
      </w:r>
      <w:r>
        <w:rPr>
          <w:rFonts w:hint="default" w:ascii="Times New Roman" w:hAnsi="Times New Roman" w:cs="Times New Roman"/>
          <w:b/>
          <w:bCs/>
          <w:color w:val="auto"/>
          <w:sz w:val="20"/>
          <w:szCs w:val="20"/>
          <w:highlight w:val="none"/>
        </w:rPr>
        <w:t xml:space="preserve"> symbol</w:t>
      </w:r>
      <w:r>
        <w:rPr>
          <w:rFonts w:hint="default" w:ascii="Times New Roman" w:hAnsi="Times New Roman" w:cs="Times New Roman"/>
          <w:color w:val="auto"/>
          <w:sz w:val="20"/>
          <w:szCs w:val="20"/>
        </w:rPr>
        <w:t xml:space="preserve"> before each consecutive SSB symbols and the RSSI symbols, and </w:t>
      </w:r>
      <w:r>
        <w:rPr>
          <w:rFonts w:hint="default" w:ascii="Times New Roman" w:hAnsi="Times New Roman" w:cs="Times New Roman"/>
          <w:b/>
          <w:bCs/>
          <w:color w:val="auto"/>
          <w:sz w:val="20"/>
          <w:szCs w:val="20"/>
          <w:highlight w:val="none"/>
          <w:lang w:eastAsia="ko-KR"/>
        </w:rPr>
        <w:t>2</w:t>
      </w:r>
      <w:r>
        <w:rPr>
          <w:rFonts w:hint="default" w:ascii="Times New Roman" w:hAnsi="Times New Roman" w:cs="Times New Roman"/>
          <w:b/>
          <w:bCs/>
          <w:color w:val="auto"/>
          <w:sz w:val="20"/>
          <w:szCs w:val="20"/>
          <w:highlight w:val="none"/>
        </w:rPr>
        <w:t xml:space="preserve"> symbol</w:t>
      </w:r>
      <w:r>
        <w:rPr>
          <w:rFonts w:hint="default" w:ascii="Times New Roman" w:hAnsi="Times New Roman" w:cs="Times New Roman"/>
          <w:color w:val="auto"/>
          <w:sz w:val="20"/>
          <w:szCs w:val="20"/>
        </w:rPr>
        <w:t xml:space="preserve"> after each consecutive SSB symbols and the RSSI symbols </w:t>
      </w:r>
      <w:r>
        <w:rPr>
          <w:rFonts w:hint="default" w:ascii="Times New Roman" w:hAnsi="Times New Roman" w:cs="Times New Roman"/>
          <w:b/>
          <w:bCs/>
          <w:color w:val="auto"/>
          <w:sz w:val="20"/>
          <w:szCs w:val="20"/>
          <w:highlight w:val="none"/>
          <w:lang w:eastAsia="ko-KR"/>
        </w:rPr>
        <w:t>of</w:t>
      </w:r>
      <w:r>
        <w:rPr>
          <w:rFonts w:hint="default" w:ascii="Times New Roman" w:hAnsi="Times New Roman" w:cs="Times New Roman"/>
          <w:b/>
          <w:bCs/>
          <w:color w:val="auto"/>
          <w:sz w:val="20"/>
          <w:szCs w:val="20"/>
          <w:highlight w:val="none"/>
        </w:rPr>
        <w:t xml:space="preserve"> serving cell</w:t>
      </w:r>
      <w:r>
        <w:rPr>
          <w:rFonts w:hint="default" w:ascii="Times New Roman" w:hAnsi="Times New Roman" w:cs="Times New Roman"/>
          <w:b/>
          <w:bCs/>
          <w:color w:val="auto"/>
          <w:sz w:val="20"/>
          <w:szCs w:val="20"/>
          <w:highlight w:val="none"/>
          <w:lang w:eastAsia="ko-KR"/>
        </w:rPr>
        <w:t>s</w:t>
      </w:r>
      <w:r>
        <w:rPr>
          <w:rFonts w:hint="default" w:ascii="Times New Roman" w:hAnsi="Times New Roman" w:cs="Times New Roman"/>
          <w:b/>
          <w:bCs/>
          <w:color w:val="auto"/>
          <w:sz w:val="20"/>
          <w:szCs w:val="20"/>
          <w:highlight w:val="none"/>
        </w:rPr>
        <w:t xml:space="preserve"> when inter-band carrier aggregation within FR1 is configured and UE support</w:t>
      </w:r>
      <w:r>
        <w:rPr>
          <w:rFonts w:hint="default" w:ascii="Times New Roman" w:hAnsi="Times New Roman" w:cs="Times New Roman"/>
          <w:b/>
          <w:bCs/>
          <w:color w:val="auto"/>
          <w:sz w:val="20"/>
          <w:szCs w:val="20"/>
          <w:highlight w:val="none"/>
          <w:lang w:eastAsia="ko-KR"/>
        </w:rPr>
        <w:t>s</w:t>
      </w:r>
      <w:r>
        <w:rPr>
          <w:rFonts w:hint="default" w:ascii="Times New Roman" w:hAnsi="Times New Roman" w:cs="Times New Roman"/>
          <w:b/>
          <w:bCs/>
          <w:color w:val="auto"/>
          <w:sz w:val="20"/>
          <w:szCs w:val="20"/>
          <w:highlight w:val="none"/>
        </w:rPr>
        <w:t xml:space="preserve"> </w:t>
      </w:r>
      <w:r>
        <w:rPr>
          <w:rFonts w:hint="default" w:ascii="Times New Roman" w:hAnsi="Times New Roman" w:cs="Times New Roman"/>
          <w:b/>
          <w:bCs/>
          <w:color w:val="auto"/>
          <w:sz w:val="20"/>
          <w:szCs w:val="20"/>
          <w:highlight w:val="none"/>
          <w:lang w:eastAsia="ko-KR"/>
        </w:rPr>
        <w:t>[</w:t>
      </w:r>
      <w:r>
        <w:rPr>
          <w:rFonts w:hint="default" w:ascii="Times New Roman" w:hAnsi="Times New Roman" w:cs="Times New Roman"/>
          <w:b/>
          <w:bCs/>
          <w:color w:val="auto"/>
          <w:sz w:val="20"/>
          <w:szCs w:val="20"/>
          <w:highlight w:val="none"/>
        </w:rPr>
        <w:t>capability of case 4]</w:t>
      </w:r>
      <w:r>
        <w:rPr>
          <w:rFonts w:hint="default" w:ascii="Times New Roman" w:hAnsi="Times New Roman" w:cs="Times New Roman"/>
          <w:color w:val="auto"/>
          <w:sz w:val="20"/>
          <w:szCs w:val="20"/>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0D6C2207">
      <w:pPr>
        <w:rPr>
          <w:rFonts w:hint="default" w:ascii="Times New Roman" w:hAnsi="Times New Roman" w:cs="Times New Roman"/>
          <w:b/>
          <w:color w:val="auto"/>
          <w:sz w:val="20"/>
          <w:szCs w:val="20"/>
          <w:u w:val="single"/>
          <w:lang w:val="en-US" w:eastAsia="zh-CN"/>
        </w:rPr>
      </w:pPr>
    </w:p>
    <w:p w14:paraId="10425901">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eastAsia="ko-KR"/>
        </w:rPr>
        <w:t>Issue 1-</w:t>
      </w:r>
      <w:r>
        <w:rPr>
          <w:rFonts w:hint="default" w:ascii="Times New Roman" w:hAnsi="Times New Roman" w:cs="Times New Roman"/>
          <w:b/>
          <w:color w:val="auto"/>
          <w:sz w:val="20"/>
          <w:szCs w:val="20"/>
          <w:u w:val="single"/>
          <w:lang w:val="en-US" w:eastAsia="zh-CN"/>
        </w:rPr>
        <w:t>3-3</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cs="Times New Roman"/>
          <w:b/>
          <w:color w:val="auto"/>
          <w:sz w:val="20"/>
          <w:szCs w:val="20"/>
          <w:u w:val="single"/>
          <w:lang w:val="en-US" w:eastAsia="zh-CN"/>
        </w:rPr>
        <w:t>Scheduling Availability/Restrictions of ATG UE performing measurement with a different subcarrier spacing than PDSCH/PDCCH on FR1 For ATG UE antenna type Case 4</w:t>
      </w:r>
    </w:p>
    <w:p w14:paraId="6F5AA3C4">
      <w:pPr>
        <w:snapToGrid w:val="0"/>
        <w:spacing w:after="120"/>
        <w:rPr>
          <w:rFonts w:hint="default" w:ascii="Times New Roman" w:hAnsi="Times New Roman" w:eastAsia="等线" w:cs="Times New Roman"/>
          <w:color w:val="auto"/>
          <w:sz w:val="20"/>
          <w:szCs w:val="20"/>
          <w:highlight w:val="green"/>
          <w:lang w:val="en-US" w:eastAsia="zh-CN"/>
        </w:rPr>
      </w:pPr>
      <w:r>
        <w:rPr>
          <w:rFonts w:hint="default" w:ascii="Times New Roman" w:hAnsi="Times New Roman" w:eastAsia="等线" w:cs="Times New Roman"/>
          <w:color w:val="auto"/>
          <w:sz w:val="20"/>
          <w:szCs w:val="20"/>
          <w:highlight w:val="green"/>
          <w:lang w:val="en-US" w:eastAsia="zh-CN"/>
        </w:rPr>
        <w:t>Agreement:</w:t>
      </w:r>
    </w:p>
    <w:p w14:paraId="42BB7EB9">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scheduling availability of UE performing measurement with a different subcarrier spacing than PDSCH/PDCCH for RLM, BFD, CBD, intra/inter-frequency measurement without MG, L1-RSRP measurement, and L1-SINR measurement, following availability also applied for Case#4 UE.</w:t>
      </w:r>
    </w:p>
    <w:p w14:paraId="3B243924">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When intra-band carrier aggregation in FR1 is configured, the scheduling restrictions on FR1 serving PCell should apply to all serving cells in the same band on the symbols that fully or partially overlap with restricted symbols.</w:t>
      </w:r>
    </w:p>
    <w:p w14:paraId="37FF7C2E">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When inter-band carrier aggregation within FR1 is configured, there are no scheduling restrictions on FR1 serving cell(s) configured in other bands than the bands in which PCell is configured</w:t>
      </w:r>
    </w:p>
    <w:p w14:paraId="6A3EF7C9">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color w:val="auto"/>
          <w:sz w:val="20"/>
          <w:szCs w:val="20"/>
          <w:highlight w:val="none"/>
        </w:rPr>
      </w:pPr>
    </w:p>
    <w:p w14:paraId="042D9C49">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eastAsia="ko-KR"/>
        </w:rPr>
        <w:t>Issue 1-</w:t>
      </w:r>
      <w:r>
        <w:rPr>
          <w:rFonts w:hint="default" w:ascii="Times New Roman" w:hAnsi="Times New Roman" w:cs="Times New Roman"/>
          <w:b/>
          <w:color w:val="auto"/>
          <w:sz w:val="20"/>
          <w:szCs w:val="20"/>
          <w:u w:val="single"/>
          <w:lang w:val="en-US" w:eastAsia="zh-CN"/>
        </w:rPr>
        <w:t>3-5</w:t>
      </w:r>
      <w:r>
        <w:rPr>
          <w:rFonts w:hint="default" w:ascii="Times New Roman" w:hAnsi="Times New Roman" w:cs="Times New Roman"/>
          <w:b/>
          <w:color w:val="auto"/>
          <w:sz w:val="20"/>
          <w:szCs w:val="20"/>
          <w:u w:val="single"/>
          <w:lang w:eastAsia="ko-KR"/>
        </w:rPr>
        <w:t>:</w:t>
      </w:r>
      <w:r>
        <w:rPr>
          <w:rFonts w:hint="default" w:ascii="Times New Roman" w:hAnsi="Times New Roman" w:cs="Times New Roman"/>
          <w:b/>
          <w:color w:val="auto"/>
          <w:sz w:val="20"/>
          <w:szCs w:val="20"/>
          <w:u w:val="single"/>
          <w:lang w:val="en-US" w:eastAsia="zh-CN"/>
        </w:rPr>
        <w:t xml:space="preserve"> Measurement enhancement for ATG UE with antenna array</w:t>
      </w:r>
    </w:p>
    <w:p w14:paraId="4BE4DD19">
      <w:pPr>
        <w:snapToGrid w:val="0"/>
        <w:spacing w:after="120"/>
        <w:rPr>
          <w:rFonts w:hint="default" w:ascii="Times New Roman" w:hAnsi="Times New Roman" w:eastAsia="等线" w:cs="Times New Roman"/>
          <w:color w:val="auto"/>
          <w:sz w:val="20"/>
          <w:szCs w:val="20"/>
          <w:highlight w:val="yellow"/>
          <w:lang w:val="en-US" w:eastAsia="zh-CN"/>
        </w:rPr>
      </w:pPr>
      <w:r>
        <w:rPr>
          <w:rFonts w:hint="default" w:ascii="Times New Roman" w:hAnsi="Times New Roman" w:eastAsia="等线" w:cs="Times New Roman"/>
          <w:color w:val="auto"/>
          <w:sz w:val="20"/>
          <w:szCs w:val="20"/>
          <w:highlight w:val="yellow"/>
          <w:lang w:val="en-US" w:eastAsia="zh-CN"/>
        </w:rPr>
        <w:t>Candidate options:</w:t>
      </w:r>
    </w:p>
    <w:p w14:paraId="486FB3E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UE could skip the neighbour cell measurement of {SCC and/or CC with deactivated SCell} by network control.</w:t>
      </w:r>
    </w:p>
    <w:p w14:paraId="440826E5">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Option 1: this can already be achieved by the existing configuration.</w:t>
      </w:r>
    </w:p>
    <w:p w14:paraId="5209957C">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Option 2: Consider enhancement for Rel-19 ATG CA</w:t>
      </w:r>
    </w:p>
    <w:p w14:paraId="4215275E">
      <w:pPr>
        <w:rPr>
          <w:rFonts w:hint="default" w:ascii="Times New Roman" w:hAnsi="Times New Roman" w:cs="Times New Roman"/>
          <w:b/>
          <w:color w:val="auto"/>
          <w:sz w:val="20"/>
          <w:szCs w:val="20"/>
          <w:u w:val="single"/>
          <w:lang w:val="en-US" w:eastAsia="zh-CN"/>
        </w:rPr>
      </w:pPr>
    </w:p>
    <w:p w14:paraId="06261C89">
      <w:pPr>
        <w:pStyle w:val="2"/>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 xml:space="preserve">&lt;Topic </w:t>
      </w:r>
      <w:r>
        <w:rPr>
          <w:rFonts w:hint="default" w:ascii="Times New Roman" w:hAnsi="Times New Roman" w:eastAsia="宋体" w:cs="Times New Roman"/>
          <w:color w:val="auto"/>
          <w:sz w:val="20"/>
          <w:szCs w:val="20"/>
          <w:lang w:val="en-US" w:eastAsia="zh-CN"/>
        </w:rPr>
        <w:t>2</w:t>
      </w:r>
      <w:r>
        <w:rPr>
          <w:rFonts w:hint="default" w:ascii="Times New Roman" w:hAnsi="Times New Roman" w:cs="Times New Roman"/>
          <w:color w:val="auto"/>
          <w:sz w:val="20"/>
          <w:szCs w:val="20"/>
        </w:rPr>
        <w:t>&gt;</w:t>
      </w:r>
      <w:r>
        <w:rPr>
          <w:rFonts w:hint="default" w:ascii="Times New Roman" w:hAnsi="Times New Roman" w:eastAsia="宋体" w:cs="Times New Roman"/>
          <w:color w:val="auto"/>
          <w:sz w:val="20"/>
          <w:szCs w:val="20"/>
          <w:lang w:val="en-US" w:eastAsia="zh-CN"/>
        </w:rPr>
        <w:t xml:space="preserve"> RRM perf requirement</w:t>
      </w:r>
    </w:p>
    <w:p w14:paraId="5848F465">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2-1-1: Measurement accuracy</w:t>
      </w:r>
    </w:p>
    <w:p w14:paraId="2A2612BC">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 </w:t>
      </w:r>
    </w:p>
    <w:p w14:paraId="16B0038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 xml:space="preserve">For ATG L1/L3 measurement of SCell/SCC, reuse the Es/Iot side condition and measurement accuracy requirement of legacy TN network. </w:t>
      </w:r>
    </w:p>
    <w:p w14:paraId="23CC33B3">
      <w:pPr>
        <w:rPr>
          <w:rFonts w:hint="default" w:ascii="Times New Roman" w:hAnsi="Times New Roman" w:cs="Times New Roman"/>
          <w:b/>
          <w:color w:val="auto"/>
          <w:sz w:val="20"/>
          <w:szCs w:val="20"/>
          <w:u w:val="single"/>
          <w:lang w:val="en-US" w:eastAsia="zh-CN"/>
        </w:rPr>
      </w:pPr>
    </w:p>
    <w:p w14:paraId="4D5B8746">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2-2-1: Test configuration</w:t>
      </w:r>
    </w:p>
    <w:p w14:paraId="4C1149C3">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w:t>
      </w:r>
    </w:p>
    <w:p w14:paraId="75867220">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Following three test configurations are supported for both PCell and SCell:</w:t>
      </w:r>
    </w:p>
    <w:p w14:paraId="622B924E">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1:15kHz SSB SCS, 10MHz bandwidth, FDD duplex mode</w:t>
      </w:r>
    </w:p>
    <w:p w14:paraId="5CC88D09">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2: 30kHz SSB SCS, 40MHz bandwidth, TDD duplex mode</w:t>
      </w:r>
    </w:p>
    <w:p w14:paraId="13F9C9FF">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3: 15kHz SSB SCS, 10MHz bandwidth, TDD duplex mode</w:t>
      </w:r>
    </w:p>
    <w:p w14:paraId="3B2BA9FC">
      <w:pPr>
        <w:keepNext w:val="0"/>
        <w:keepLines w:val="0"/>
        <w:pageBreakBefore w:val="0"/>
        <w:widowControl/>
        <w:numPr>
          <w:ilvl w:val="2"/>
          <w:numId w:val="1"/>
        </w:numPr>
        <w:tabs>
          <w:tab w:val="left" w:pos="420"/>
          <w:tab w:val="clear" w:pos="-420"/>
        </w:tabs>
        <w:kinsoku/>
        <w:wordWrap/>
        <w:overflowPunct w:val="0"/>
        <w:topLinePunct w:val="0"/>
        <w:autoSpaceDE w:val="0"/>
        <w:autoSpaceDN w:val="0"/>
        <w:bidi w:val="0"/>
        <w:adjustRightInd w:val="0"/>
        <w:snapToGrid/>
        <w:spacing w:after="120"/>
        <w:ind w:left="156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If legacy TN test cases don’t have this test configuration, then no need to introduce it into the corresponding ATG test cases.</w:t>
      </w:r>
    </w:p>
    <w:p w14:paraId="38850F95">
      <w:pPr>
        <w:rPr>
          <w:rFonts w:hint="default" w:ascii="Times New Roman" w:hAnsi="Times New Roman" w:cs="Times New Roman"/>
          <w:b/>
          <w:color w:val="auto"/>
          <w:sz w:val="20"/>
          <w:szCs w:val="20"/>
          <w:u w:val="single"/>
          <w:lang w:val="en-US" w:eastAsia="zh-CN"/>
        </w:rPr>
      </w:pPr>
    </w:p>
    <w:p w14:paraId="00BE99D6">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2-2-2: Test applicability rule</w:t>
      </w:r>
    </w:p>
    <w:p w14:paraId="0FE0C11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Proposal 1: </w:t>
      </w:r>
    </w:p>
    <w:p w14:paraId="54F317EF">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UE is only required to be tested in one of the supported test configurations</w:t>
      </w:r>
    </w:p>
    <w:p w14:paraId="4A1B4CA7">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UE is only required to be tested in one with smallest aggregated channel bandwidth from supported band combinations which is composed of CCs ≥ the bandwidth (BW</w:t>
      </w:r>
      <w:r>
        <w:rPr>
          <w:rFonts w:hint="default" w:ascii="Times New Roman" w:hAnsi="Times New Roman" w:eastAsia="宋体" w:cs="Times New Roman"/>
          <w:bCs/>
          <w:color w:val="auto"/>
          <w:sz w:val="20"/>
          <w:szCs w:val="20"/>
          <w:vertAlign w:val="subscript"/>
          <w:lang w:val="en-US" w:eastAsia="zh-CN"/>
        </w:rPr>
        <w:t>channel</w:t>
      </w:r>
      <w:r>
        <w:rPr>
          <w:rFonts w:hint="default" w:ascii="Times New Roman" w:hAnsi="Times New Roman" w:eastAsia="宋体" w:cs="Times New Roman"/>
          <w:bCs/>
          <w:color w:val="auto"/>
          <w:sz w:val="20"/>
          <w:szCs w:val="20"/>
          <w:lang w:val="en-US" w:eastAsia="zh-CN"/>
        </w:rPr>
        <w:t>) defined in each test configuration</w:t>
      </w:r>
    </w:p>
    <w:p w14:paraId="7C72CA8B">
      <w:pPr>
        <w:rPr>
          <w:rFonts w:hint="default" w:ascii="Times New Roman" w:hAnsi="Times New Roman" w:cs="Times New Roman"/>
          <w:b/>
          <w:color w:val="auto"/>
          <w:sz w:val="20"/>
          <w:szCs w:val="20"/>
          <w:u w:val="single"/>
          <w:lang w:val="en-US" w:eastAsia="zh-CN"/>
        </w:rPr>
      </w:pPr>
    </w:p>
    <w:p w14:paraId="6BA7F07F">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2-2-3: Test setups</w:t>
      </w:r>
    </w:p>
    <w:p w14:paraId="2F2818E0">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w:t>
      </w:r>
    </w:p>
    <w:p w14:paraId="5FD8D7F3">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Following test setups agreed in R18 can be reused:</w:t>
      </w:r>
    </w:p>
    <w:p w14:paraId="061CAC0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 xml:space="preserve">TDD pattern: The legacy TDD pattern are used for PCell, </w:t>
      </w:r>
      <w:r>
        <w:rPr>
          <w:rFonts w:hint="default" w:ascii="Times New Roman" w:hAnsi="Times New Roman" w:eastAsia="宋体" w:cs="Times New Roman"/>
          <w:bCs/>
          <w:color w:val="auto"/>
          <w:sz w:val="20"/>
          <w:szCs w:val="20"/>
          <w:highlight w:val="yellow"/>
          <w:lang w:val="en-US" w:eastAsia="zh-CN"/>
        </w:rPr>
        <w:t>FFS for SCell</w:t>
      </w:r>
    </w:p>
    <w:p w14:paraId="05AC92E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Channel model: AWGN with residual doppler channel model</w:t>
      </w:r>
    </w:p>
    <w:p w14:paraId="2184DD9C">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Number of neighbour cells: one neighbour cell in the test if needed</w:t>
      </w:r>
    </w:p>
    <w:p w14:paraId="29349C8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GNSS and UE mobility setup: UE positioning and UE speed are set by AT command. UE speed is 0km/h, UE specific positioning is emulated by test system.</w:t>
      </w:r>
    </w:p>
    <w:p w14:paraId="21320C9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BS location: The specific gNB reference location is emulated by test system</w:t>
      </w:r>
    </w:p>
    <w:p w14:paraId="4DDA2AF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ko-KR"/>
        </w:rPr>
        <w:t>RMC</w:t>
      </w:r>
      <w:r>
        <w:rPr>
          <w:rFonts w:hint="default" w:ascii="Times New Roman" w:hAnsi="Times New Roman" w:eastAsia="宋体" w:cs="Times New Roman"/>
          <w:bCs/>
          <w:color w:val="auto"/>
          <w:sz w:val="20"/>
          <w:szCs w:val="20"/>
          <w:lang w:val="en-US" w:eastAsia="zh-CN"/>
        </w:rPr>
        <w:t>: the legacy NR RMCs defined in section A.3.1 of TS 38.133 are reused for ATG test cases.</w:t>
      </w:r>
    </w:p>
    <w:p w14:paraId="65F96D6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ko-KR"/>
        </w:rPr>
        <w:t>OCNG</w:t>
      </w:r>
      <w:r>
        <w:rPr>
          <w:rFonts w:hint="default" w:ascii="Times New Roman" w:hAnsi="Times New Roman" w:eastAsia="宋体" w:cs="Times New Roman"/>
          <w:bCs/>
          <w:color w:val="auto"/>
          <w:sz w:val="20"/>
          <w:szCs w:val="20"/>
          <w:lang w:val="en-US" w:eastAsia="zh-CN"/>
        </w:rPr>
        <w:t xml:space="preserve">: </w:t>
      </w:r>
    </w:p>
    <w:p w14:paraId="4269DE20">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Generic OCNG pattern for all unused REs defined in A.3.2.1.1 in TS 38.133.</w:t>
      </w:r>
    </w:p>
    <w:p w14:paraId="39A9D64E">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Generic OCNG pattern for unused REs in the same bandwidth as CORESET defined in A.3.2.1.3 of TS 38.133.</w:t>
      </w:r>
    </w:p>
    <w:p w14:paraId="7B376D9B">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eastAsia="宋体" w:cs="Times New Roman"/>
          <w:bCs/>
          <w:color w:val="auto"/>
          <w:sz w:val="20"/>
          <w:szCs w:val="20"/>
          <w:lang w:val="en-US" w:eastAsia="zh-CN"/>
        </w:rPr>
        <w:t>Generic OCNG pattern for all unused REs outside SSB slot(s) defined in A.3.2.1.4 in TS 38.133</w:t>
      </w:r>
    </w:p>
    <w:p w14:paraId="6B519CD4">
      <w:pPr>
        <w:rPr>
          <w:rFonts w:hint="default" w:ascii="Times New Roman" w:hAnsi="Times New Roman" w:cs="Times New Roman"/>
          <w:b/>
          <w:color w:val="auto"/>
          <w:sz w:val="20"/>
          <w:szCs w:val="20"/>
          <w:u w:val="single"/>
          <w:lang w:val="en-US" w:eastAsia="zh-CN"/>
        </w:rPr>
      </w:pPr>
    </w:p>
    <w:p w14:paraId="0E1629A1">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2-2-4: Test method and scaling factor for UE with antenna array</w:t>
      </w:r>
    </w:p>
    <w:p w14:paraId="53EBC09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highlight w:val="yellow"/>
          <w:lang w:val="en-US" w:eastAsia="zh-CN"/>
        </w:rPr>
      </w:pPr>
      <w:r>
        <w:rPr>
          <w:rFonts w:hint="eastAsia" w:eastAsia="宋体" w:cs="Times New Roman"/>
          <w:color w:val="auto"/>
          <w:sz w:val="20"/>
          <w:szCs w:val="20"/>
          <w:highlight w:val="yellow"/>
          <w:lang w:val="en-US" w:eastAsia="zh-CN"/>
        </w:rPr>
        <w:t>FFS</w:t>
      </w:r>
      <w:r>
        <w:rPr>
          <w:rFonts w:hint="default" w:ascii="Times New Roman" w:hAnsi="Times New Roman" w:eastAsia="宋体" w:cs="Times New Roman"/>
          <w:color w:val="auto"/>
          <w:sz w:val="20"/>
          <w:szCs w:val="20"/>
          <w:highlight w:val="yellow"/>
          <w:lang w:val="en-US" w:eastAsia="zh-CN"/>
        </w:rPr>
        <w:t>:</w:t>
      </w:r>
    </w:p>
    <w:p w14:paraId="6A308BF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 xml:space="preserve">The scaling factor related with antenna array will not be applied in test requirements </w:t>
      </w:r>
    </w:p>
    <w:p w14:paraId="675864D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w:t>
      </w:r>
      <w:r>
        <w:rPr>
          <w:rFonts w:hint="default" w:ascii="Times New Roman" w:hAnsi="Times New Roman" w:eastAsia="宋体" w:cs="Times New Roman"/>
          <w:color w:val="auto"/>
          <w:sz w:val="20"/>
          <w:szCs w:val="20"/>
          <w:highlight w:val="none"/>
          <w:lang w:val="en-US" w:eastAsia="zh-CN"/>
        </w:rPr>
        <w:t>he test parameters, test requirements for UE with antenna array on both PCC and SCC</w:t>
      </w:r>
    </w:p>
    <w:p w14:paraId="71799752">
      <w:pPr>
        <w:rPr>
          <w:rFonts w:hint="default" w:ascii="Times New Roman" w:hAnsi="Times New Roman" w:cs="Times New Roman"/>
          <w:b/>
          <w:color w:val="auto"/>
          <w:sz w:val="20"/>
          <w:szCs w:val="20"/>
          <w:u w:val="single"/>
          <w:lang w:val="en-US" w:eastAsia="zh-CN"/>
        </w:rPr>
      </w:pPr>
    </w:p>
    <w:p w14:paraId="1B711AD9">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2-2-5: Test scope</w:t>
      </w:r>
    </w:p>
    <w:p w14:paraId="7D057E7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color w:val="auto"/>
          <w:sz w:val="20"/>
          <w:szCs w:val="20"/>
          <w:highlight w:val="yellow"/>
          <w:lang w:val="en-US" w:eastAsia="zh-CN"/>
        </w:rPr>
        <w:t>Merged proposal:</w:t>
      </w:r>
    </w:p>
    <w:tbl>
      <w:tblPr>
        <w:tblStyle w:val="45"/>
        <w:tblW w:w="0" w:type="auto"/>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5506"/>
        <w:gridCol w:w="1870"/>
      </w:tblGrid>
      <w:tr w14:paraId="53AE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02925F6C">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Test category</w:t>
            </w:r>
          </w:p>
        </w:tc>
        <w:tc>
          <w:tcPr>
            <w:tcW w:w="5506" w:type="dxa"/>
          </w:tcPr>
          <w:p w14:paraId="0DC4FAA5">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Test cases</w:t>
            </w:r>
          </w:p>
        </w:tc>
        <w:tc>
          <w:tcPr>
            <w:tcW w:w="1870" w:type="dxa"/>
          </w:tcPr>
          <w:p w14:paraId="36253FD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Company comments</w:t>
            </w:r>
          </w:p>
        </w:tc>
      </w:tr>
      <w:tr w14:paraId="31C5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28EE883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Interruption</w:t>
            </w:r>
          </w:p>
        </w:tc>
        <w:tc>
          <w:tcPr>
            <w:tcW w:w="5506" w:type="dxa"/>
          </w:tcPr>
          <w:p w14:paraId="033153D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Interruptions during measurements on deactivated NR SCC in FR1</w:t>
            </w:r>
          </w:p>
        </w:tc>
        <w:tc>
          <w:tcPr>
            <w:tcW w:w="1870" w:type="dxa"/>
          </w:tcPr>
          <w:p w14:paraId="39BF199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0CF3BCB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tc>
      </w:tr>
      <w:tr w14:paraId="22BD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578567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7CDFE4A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Interruption requirement at SRS antenna port switching with 1 SRS symbol in a slot</w:t>
            </w:r>
          </w:p>
        </w:tc>
        <w:tc>
          <w:tcPr>
            <w:tcW w:w="1870" w:type="dxa"/>
          </w:tcPr>
          <w:p w14:paraId="37E2BD2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7C539BAA">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p w14:paraId="15BB2F2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tc>
      </w:tr>
      <w:tr w14:paraId="5B1D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136FD3E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1215F405">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Interruption requirement at SRS antenna port switching with more than 1 SRS symbol in a slot</w:t>
            </w:r>
          </w:p>
        </w:tc>
        <w:tc>
          <w:tcPr>
            <w:tcW w:w="1870" w:type="dxa"/>
          </w:tcPr>
          <w:p w14:paraId="5F8D884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3ADC2AA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p w14:paraId="22131FD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tc>
      </w:tr>
      <w:tr w14:paraId="095B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ADD38F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61CAADD5">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color w:val="auto"/>
                <w:sz w:val="20"/>
                <w:szCs w:val="20"/>
                <w:lang w:eastAsia="zh-CN"/>
              </w:rPr>
              <w:t xml:space="preserve"> interruption at NR SRS antenna port switching</w:t>
            </w:r>
          </w:p>
        </w:tc>
        <w:tc>
          <w:tcPr>
            <w:tcW w:w="1870" w:type="dxa"/>
          </w:tcPr>
          <w:p w14:paraId="3C9BEC0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FFS</w:t>
            </w:r>
          </w:p>
        </w:tc>
      </w:tr>
      <w:tr w14:paraId="4A14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0F72E257">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6B2F53F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sv-SE" w:eastAsia="zh-CN"/>
              </w:rPr>
            </w:pPr>
            <w:r>
              <w:rPr>
                <w:rFonts w:hint="default" w:ascii="Times New Roman" w:hAnsi="Times New Roman" w:eastAsia="宋体" w:cs="Times New Roman"/>
                <w:color w:val="auto"/>
                <w:sz w:val="20"/>
                <w:szCs w:val="20"/>
                <w:lang w:eastAsia="zh-CN"/>
              </w:rPr>
              <w:t>Interruptions at NR SRS carrier based switching</w:t>
            </w:r>
          </w:p>
        </w:tc>
        <w:tc>
          <w:tcPr>
            <w:tcW w:w="1870" w:type="dxa"/>
          </w:tcPr>
          <w:p w14:paraId="5DD3B5C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FFS</w:t>
            </w:r>
          </w:p>
        </w:tc>
      </w:tr>
      <w:tr w14:paraId="01F6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74EA6D1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SCell Activation and deactivation</w:t>
            </w:r>
          </w:p>
        </w:tc>
        <w:tc>
          <w:tcPr>
            <w:tcW w:w="5506" w:type="dxa"/>
          </w:tcPr>
          <w:p w14:paraId="3AB54F4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SCell Activation and deactivation of known SCell in FR1 in non-DRX for 160 ms SCell measurement cycle</w:t>
            </w:r>
          </w:p>
        </w:tc>
        <w:tc>
          <w:tcPr>
            <w:tcW w:w="1870" w:type="dxa"/>
          </w:tcPr>
          <w:p w14:paraId="2183C30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1FE4795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4F0538E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p w14:paraId="7F73E8C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tc>
      </w:tr>
      <w:tr w14:paraId="075E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217229E7">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722E0D15">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SCell Activation and deactivation of known SCell in FR1 in non-DRX for 640 ms SCell measurement cycle</w:t>
            </w:r>
          </w:p>
        </w:tc>
        <w:tc>
          <w:tcPr>
            <w:tcW w:w="1870" w:type="dxa"/>
          </w:tcPr>
          <w:p w14:paraId="79EDF7DA">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593312B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016D1FB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p w14:paraId="623E340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tc>
      </w:tr>
      <w:tr w14:paraId="3BC6C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2E097D7A">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202EF6C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SCell Activation and deactivation of unknown SCell in FR1 in non-DRX</w:t>
            </w:r>
          </w:p>
        </w:tc>
        <w:tc>
          <w:tcPr>
            <w:tcW w:w="1870" w:type="dxa"/>
          </w:tcPr>
          <w:p w14:paraId="29AEACE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6C5020D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14167AD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p w14:paraId="07B462A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tc>
      </w:tr>
      <w:tr w14:paraId="622C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2E4B636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252C801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Direct SCell activation at SCell addition of known SCell in FR1</w:t>
            </w:r>
          </w:p>
        </w:tc>
        <w:tc>
          <w:tcPr>
            <w:tcW w:w="1870" w:type="dxa"/>
          </w:tcPr>
          <w:p w14:paraId="43A1695A">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1AA2977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5CFB35B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tc>
      </w:tr>
      <w:tr w14:paraId="0992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3C714A0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640AF51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Direct SCell activation at handover with known SCell in FR1</w:t>
            </w:r>
          </w:p>
        </w:tc>
        <w:tc>
          <w:tcPr>
            <w:tcW w:w="1870" w:type="dxa"/>
          </w:tcPr>
          <w:p w14:paraId="18BFE27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6234B8D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43DE6105">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Support</w:t>
            </w:r>
          </w:p>
        </w:tc>
      </w:tr>
      <w:tr w14:paraId="1792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960E92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3DBFABF5">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color w:val="auto"/>
                <w:sz w:val="20"/>
                <w:szCs w:val="20"/>
                <w:lang w:val="en-US" w:eastAsia="zh-CN"/>
              </w:rPr>
              <w:t>Direct SCell Activation at RRC Resume</w:t>
            </w:r>
          </w:p>
        </w:tc>
        <w:tc>
          <w:tcPr>
            <w:tcW w:w="1870" w:type="dxa"/>
            <w:shd w:val="clear" w:color="auto" w:fill="auto"/>
          </w:tcPr>
          <w:p w14:paraId="54F459E4">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FFS</w:t>
            </w:r>
          </w:p>
          <w:p w14:paraId="596A3BCA">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tc>
      </w:tr>
      <w:tr w14:paraId="35DE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37CE64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729B31A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Fast SCell Activation of known SCell in FR1 in non-DRX for 160 ms SCell measurement cycle</w:t>
            </w:r>
          </w:p>
        </w:tc>
        <w:tc>
          <w:tcPr>
            <w:tcW w:w="1870" w:type="dxa"/>
            <w:shd w:val="clear" w:color="auto" w:fill="auto"/>
          </w:tcPr>
          <w:p w14:paraId="223E873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7DB10BE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5EC956F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HW: Support</w:t>
            </w:r>
          </w:p>
        </w:tc>
      </w:tr>
      <w:tr w14:paraId="05FD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2B18D4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3B9A5DB5">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Fast SCell Activation of known SCell in FR1 in non-DRX for 640 ms SCell measurement cycle</w:t>
            </w:r>
          </w:p>
        </w:tc>
        <w:tc>
          <w:tcPr>
            <w:tcW w:w="1870" w:type="dxa"/>
            <w:shd w:val="clear" w:color="auto" w:fill="auto"/>
          </w:tcPr>
          <w:p w14:paraId="47419FE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520E9B06">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5609F09C">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HW: Support</w:t>
            </w:r>
          </w:p>
        </w:tc>
      </w:tr>
      <w:tr w14:paraId="27D2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2566324C">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10C9400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SCell Activation of unknown SCell with valid L3 measurement results in FR1 in non-DRX for 160 ms SCell measurement cycle</w:t>
            </w:r>
          </w:p>
        </w:tc>
        <w:tc>
          <w:tcPr>
            <w:tcW w:w="1870" w:type="dxa"/>
            <w:shd w:val="clear" w:color="auto" w:fill="auto"/>
          </w:tcPr>
          <w:p w14:paraId="53270A94">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5A7404A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721C2216">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HW: Support</w:t>
            </w:r>
          </w:p>
        </w:tc>
      </w:tr>
      <w:tr w14:paraId="4F6F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061B9664">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790B8C64">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TRS based SCell Activation of SSB-less SCell in FR1 inter-band CA in non-DRX</w:t>
            </w:r>
          </w:p>
        </w:tc>
        <w:tc>
          <w:tcPr>
            <w:tcW w:w="1870" w:type="dxa"/>
            <w:shd w:val="clear" w:color="auto" w:fill="auto"/>
          </w:tcPr>
          <w:p w14:paraId="3E87F41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0387C88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298170DD">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HW: Support</w:t>
            </w:r>
          </w:p>
        </w:tc>
      </w:tr>
      <w:tr w14:paraId="2ABD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0D4CE7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6D19BDFE">
            <w:pPr>
              <w:overflowPunct/>
              <w:autoSpaceDE/>
              <w:autoSpaceDN/>
              <w:adjustRightInd/>
              <w:spacing w:after="120"/>
              <w:textAlignment w:val="auto"/>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bCs/>
                <w:color w:val="auto"/>
                <w:sz w:val="20"/>
                <w:szCs w:val="20"/>
                <w:lang w:val="en-US" w:eastAsia="zh-CN"/>
              </w:rPr>
              <w:t>Inter-band SSB-less SCell Activation based on A-TRS</w:t>
            </w:r>
          </w:p>
        </w:tc>
        <w:tc>
          <w:tcPr>
            <w:tcW w:w="1870" w:type="dxa"/>
            <w:shd w:val="clear" w:color="auto" w:fill="auto"/>
          </w:tcPr>
          <w:p w14:paraId="5341B784">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6DE0AE1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5FA51D7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HW: FFS</w:t>
            </w:r>
          </w:p>
        </w:tc>
      </w:tr>
      <w:tr w14:paraId="5270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6EDC3D07">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color w:val="auto"/>
                <w:sz w:val="20"/>
                <w:szCs w:val="20"/>
                <w:lang w:val="en-US" w:eastAsia="zh-CN"/>
              </w:rPr>
              <w:t>Beam Failure Recovery</w:t>
            </w:r>
          </w:p>
        </w:tc>
        <w:tc>
          <w:tcPr>
            <w:tcW w:w="5506" w:type="dxa"/>
          </w:tcPr>
          <w:p w14:paraId="280561EE">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color w:val="auto"/>
                <w:sz w:val="20"/>
                <w:szCs w:val="20"/>
                <w:lang w:val="en-US" w:eastAsia="zh-CN"/>
              </w:rPr>
              <w:t>Beam Failure Detection and Link Recovery Test for FR1 SCell configured with CSI-RS-based BFD and SSB-based LR in non-DRX mode for ATG</w:t>
            </w:r>
          </w:p>
        </w:tc>
        <w:tc>
          <w:tcPr>
            <w:tcW w:w="1870" w:type="dxa"/>
            <w:shd w:val="clear" w:color="auto" w:fill="auto"/>
          </w:tcPr>
          <w:p w14:paraId="5903082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tc>
      </w:tr>
      <w:tr w14:paraId="1162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52ECF70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Active BWP Switch</w:t>
            </w:r>
          </w:p>
        </w:tc>
        <w:tc>
          <w:tcPr>
            <w:tcW w:w="5506" w:type="dxa"/>
          </w:tcPr>
          <w:p w14:paraId="6D68206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Simultaneous DCI-based and Timer-based Active BWP Switch on multiple CCs</w:t>
            </w:r>
          </w:p>
        </w:tc>
        <w:tc>
          <w:tcPr>
            <w:tcW w:w="1870" w:type="dxa"/>
            <w:shd w:val="clear" w:color="auto" w:fill="auto"/>
          </w:tcPr>
          <w:p w14:paraId="7C30CE52">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4274651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CATT: Support</w:t>
            </w:r>
          </w:p>
          <w:p w14:paraId="64241E8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Ericsson: Support</w:t>
            </w:r>
          </w:p>
        </w:tc>
      </w:tr>
      <w:tr w14:paraId="7B11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373BA4A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4783BEFE">
            <w:pPr>
              <w:overflowPunct/>
              <w:autoSpaceDE/>
              <w:autoSpaceDN/>
              <w:adjustRightInd/>
              <w:spacing w:after="120"/>
              <w:textAlignment w:val="auto"/>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bCs/>
                <w:color w:val="auto"/>
                <w:sz w:val="20"/>
                <w:szCs w:val="20"/>
                <w:lang w:val="en-US" w:eastAsia="zh-CN"/>
              </w:rPr>
              <w:t>Simultaneous RRC-based Active BWP Switch on multiple CCs</w:t>
            </w:r>
          </w:p>
        </w:tc>
        <w:tc>
          <w:tcPr>
            <w:tcW w:w="1870" w:type="dxa"/>
            <w:shd w:val="clear" w:color="auto" w:fill="auto"/>
          </w:tcPr>
          <w:p w14:paraId="4FBF79FC">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CMCC: Support</w:t>
            </w:r>
          </w:p>
          <w:p w14:paraId="106E385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CATT: Support</w:t>
            </w:r>
          </w:p>
        </w:tc>
      </w:tr>
      <w:tr w14:paraId="70A7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6925C9C">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04811590">
            <w:pPr>
              <w:overflowPunct/>
              <w:autoSpaceDE/>
              <w:autoSpaceDN/>
              <w:adjustRightInd/>
              <w:spacing w:after="120"/>
              <w:textAlignment w:val="auto"/>
              <w:rPr>
                <w:rFonts w:hint="default" w:ascii="Times New Roman" w:hAnsi="Times New Roman" w:eastAsia="Yu Mincho" w:cs="Times New Roman"/>
                <w:bCs/>
                <w:color w:val="auto"/>
                <w:sz w:val="20"/>
                <w:szCs w:val="20"/>
                <w:lang w:val="en-US" w:eastAsia="zh-CN"/>
              </w:rPr>
            </w:pPr>
            <w:r>
              <w:rPr>
                <w:rFonts w:hint="default" w:ascii="Times New Roman" w:hAnsi="Times New Roman" w:eastAsia="Yu Mincho" w:cs="Times New Roman"/>
                <w:color w:val="auto"/>
                <w:sz w:val="20"/>
                <w:szCs w:val="20"/>
                <w:lang w:val="en-US" w:eastAsia="zh-CN"/>
              </w:rPr>
              <w:t>non-simultaneous Timer based BWP switch delay on multiple CCs</w:t>
            </w:r>
          </w:p>
        </w:tc>
        <w:tc>
          <w:tcPr>
            <w:tcW w:w="1870" w:type="dxa"/>
            <w:shd w:val="clear" w:color="auto" w:fill="auto"/>
          </w:tcPr>
          <w:p w14:paraId="51E98442">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CMCC: FFS</w:t>
            </w:r>
          </w:p>
        </w:tc>
      </w:tr>
      <w:tr w14:paraId="5415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79F81A00">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SCell dormancy switch</w:t>
            </w:r>
          </w:p>
          <w:p w14:paraId="4DEE73E4">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37440B17">
            <w:pPr>
              <w:pStyle w:val="72"/>
              <w:overflowPunct/>
              <w:autoSpaceDE/>
              <w:autoSpaceDN/>
              <w:adjustRightInd/>
              <w:spacing w:after="120"/>
              <w:ind w:firstLine="0" w:firstLineChars="0"/>
              <w:textAlignment w:val="auto"/>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SCell dormancy switch</w:t>
            </w:r>
          </w:p>
          <w:p w14:paraId="2086985C">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1870" w:type="dxa"/>
            <w:shd w:val="clear" w:color="auto" w:fill="auto"/>
          </w:tcPr>
          <w:p w14:paraId="24305C22">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CMCC: Support</w:t>
            </w:r>
          </w:p>
        </w:tc>
      </w:tr>
      <w:tr w14:paraId="4CDC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004FD4D6">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deactivated SCell measurement</w:t>
            </w:r>
          </w:p>
        </w:tc>
        <w:tc>
          <w:tcPr>
            <w:tcW w:w="5506" w:type="dxa"/>
          </w:tcPr>
          <w:p w14:paraId="4CE32337">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bCs/>
                <w:color w:val="auto"/>
                <w:sz w:val="20"/>
                <w:szCs w:val="20"/>
                <w:lang w:val="en-US" w:eastAsia="zh-CN"/>
              </w:rPr>
              <w:t>Event triggered reporting on SCC with deactivated SCell test under non-DRX</w:t>
            </w:r>
          </w:p>
        </w:tc>
        <w:tc>
          <w:tcPr>
            <w:tcW w:w="1870" w:type="dxa"/>
            <w:shd w:val="clear" w:color="auto" w:fill="auto"/>
          </w:tcPr>
          <w:p w14:paraId="259DDA0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CMCC: Support</w:t>
            </w:r>
          </w:p>
        </w:tc>
      </w:tr>
      <w:tr w14:paraId="65A1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14:paraId="1D1D73A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Pre-configured measurement gap </w:t>
            </w:r>
          </w:p>
          <w:p w14:paraId="3A5BD945">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5506" w:type="dxa"/>
          </w:tcPr>
          <w:p w14:paraId="65287E91">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Test case for Pre-configured measurement gap requirement </w:t>
            </w:r>
          </w:p>
          <w:p w14:paraId="40875FF3">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p>
        </w:tc>
        <w:tc>
          <w:tcPr>
            <w:tcW w:w="1870" w:type="dxa"/>
            <w:shd w:val="clear" w:color="auto" w:fill="auto"/>
          </w:tcPr>
          <w:p w14:paraId="7A46C53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CMCC: FFS</w:t>
            </w:r>
          </w:p>
        </w:tc>
      </w:tr>
      <w:tr w14:paraId="721F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restart"/>
          </w:tcPr>
          <w:p w14:paraId="3D2D088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Others</w:t>
            </w:r>
          </w:p>
        </w:tc>
        <w:tc>
          <w:tcPr>
            <w:tcW w:w="5506" w:type="dxa"/>
          </w:tcPr>
          <w:p w14:paraId="760303D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Intra-frequency measurement(with scheduling restriction verified as well)</w:t>
            </w:r>
          </w:p>
        </w:tc>
        <w:tc>
          <w:tcPr>
            <w:tcW w:w="1870" w:type="dxa"/>
            <w:shd w:val="clear" w:color="auto" w:fill="auto"/>
          </w:tcPr>
          <w:p w14:paraId="4C6AD3A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ZTE: Support</w:t>
            </w:r>
          </w:p>
        </w:tc>
      </w:tr>
      <w:tr w14:paraId="13B5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CD1202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p>
        </w:tc>
        <w:tc>
          <w:tcPr>
            <w:tcW w:w="5506" w:type="dxa"/>
          </w:tcPr>
          <w:p w14:paraId="28D8056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Inter-frequency measurement(with scheduling restriction verified as well)</w:t>
            </w:r>
          </w:p>
        </w:tc>
        <w:tc>
          <w:tcPr>
            <w:tcW w:w="1870" w:type="dxa"/>
            <w:shd w:val="clear" w:color="auto" w:fill="auto"/>
          </w:tcPr>
          <w:p w14:paraId="51B5FE8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ZTE: Support</w:t>
            </w:r>
          </w:p>
        </w:tc>
      </w:tr>
      <w:tr w14:paraId="2D40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6541A8F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p>
        </w:tc>
        <w:tc>
          <w:tcPr>
            <w:tcW w:w="5506" w:type="dxa"/>
          </w:tcPr>
          <w:p w14:paraId="67BDDBB8">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L1-RSRP measurement</w:t>
            </w:r>
          </w:p>
        </w:tc>
        <w:tc>
          <w:tcPr>
            <w:tcW w:w="1870" w:type="dxa"/>
            <w:shd w:val="clear" w:color="auto" w:fill="auto"/>
          </w:tcPr>
          <w:p w14:paraId="70E4E17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ZTE: Support</w:t>
            </w:r>
          </w:p>
        </w:tc>
      </w:tr>
      <w:tr w14:paraId="4156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44BC5A8E">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p>
        </w:tc>
        <w:tc>
          <w:tcPr>
            <w:tcW w:w="5506" w:type="dxa"/>
          </w:tcPr>
          <w:p w14:paraId="30C057F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CSI-RS based intra and inter frequency Measurements for event-triggered reporting tests without gap under non-DRX</w:t>
            </w:r>
          </w:p>
        </w:tc>
        <w:tc>
          <w:tcPr>
            <w:tcW w:w="1870" w:type="dxa"/>
            <w:shd w:val="clear" w:color="auto" w:fill="auto"/>
          </w:tcPr>
          <w:p w14:paraId="173B462F">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Ericsson: Support</w:t>
            </w:r>
          </w:p>
        </w:tc>
      </w:tr>
      <w:tr w14:paraId="7F8F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55C698E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p>
        </w:tc>
        <w:tc>
          <w:tcPr>
            <w:tcW w:w="5506" w:type="dxa"/>
          </w:tcPr>
          <w:p w14:paraId="5E558869">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val="en-US" w:eastAsia="zh-CN"/>
              </w:rPr>
              <w:t>The interruption of SCell addition/release</w:t>
            </w:r>
          </w:p>
        </w:tc>
        <w:tc>
          <w:tcPr>
            <w:tcW w:w="1870" w:type="dxa"/>
            <w:shd w:val="clear" w:color="auto" w:fill="auto"/>
          </w:tcPr>
          <w:p w14:paraId="348A9BC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ZTE: Support</w:t>
            </w:r>
          </w:p>
        </w:tc>
      </w:tr>
      <w:tr w14:paraId="6E41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Merge w:val="continue"/>
          </w:tcPr>
          <w:p w14:paraId="7FDDA3C0">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p>
        </w:tc>
        <w:tc>
          <w:tcPr>
            <w:tcW w:w="5506" w:type="dxa"/>
          </w:tcPr>
          <w:p w14:paraId="0A9340BD">
            <w:pPr>
              <w:overflowPunct/>
              <w:autoSpaceDE/>
              <w:autoSpaceDN/>
              <w:adjustRightInd/>
              <w:spacing w:after="120"/>
              <w:textAlignment w:val="auto"/>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val="en-US" w:eastAsia="zh-CN"/>
              </w:rPr>
              <w:t>The interruption of SCell activation/deactivation</w:t>
            </w:r>
          </w:p>
        </w:tc>
        <w:tc>
          <w:tcPr>
            <w:tcW w:w="1870" w:type="dxa"/>
            <w:shd w:val="clear" w:color="auto" w:fill="auto"/>
          </w:tcPr>
          <w:p w14:paraId="0C151F7B">
            <w:pPr>
              <w:pStyle w:val="72"/>
              <w:overflowPunct/>
              <w:autoSpaceDE/>
              <w:autoSpaceDN/>
              <w:adjustRightInd/>
              <w:spacing w:after="120"/>
              <w:ind w:firstLine="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ZTE: Support</w:t>
            </w:r>
          </w:p>
        </w:tc>
      </w:tr>
    </w:tbl>
    <w:p w14:paraId="430475D9">
      <w:pPr>
        <w:rPr>
          <w:rFonts w:hint="default" w:ascii="Times New Roman" w:hAnsi="Times New Roman" w:cs="Times New Roman"/>
          <w:b/>
          <w:color w:val="auto"/>
          <w:sz w:val="20"/>
          <w:szCs w:val="20"/>
          <w:u w:val="single"/>
          <w:lang w:val="en-US" w:eastAsia="zh-CN"/>
        </w:rPr>
      </w:pPr>
    </w:p>
    <w:p w14:paraId="5217C540">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5EF3EA8"/>
    <w:rsid w:val="066478E0"/>
    <w:rsid w:val="076E5199"/>
    <w:rsid w:val="08036534"/>
    <w:rsid w:val="09575F33"/>
    <w:rsid w:val="127C6D88"/>
    <w:rsid w:val="143E502C"/>
    <w:rsid w:val="16194085"/>
    <w:rsid w:val="18D42CAA"/>
    <w:rsid w:val="198432E8"/>
    <w:rsid w:val="1CBB1BB0"/>
    <w:rsid w:val="1D777F86"/>
    <w:rsid w:val="1E452485"/>
    <w:rsid w:val="1F17751E"/>
    <w:rsid w:val="1F8E3470"/>
    <w:rsid w:val="21F046BC"/>
    <w:rsid w:val="25F93F73"/>
    <w:rsid w:val="262D4A31"/>
    <w:rsid w:val="2B09789B"/>
    <w:rsid w:val="2BC55573"/>
    <w:rsid w:val="2BD66B3D"/>
    <w:rsid w:val="2D715F5C"/>
    <w:rsid w:val="356362F6"/>
    <w:rsid w:val="363870C8"/>
    <w:rsid w:val="37160E14"/>
    <w:rsid w:val="37FA6736"/>
    <w:rsid w:val="39D671D7"/>
    <w:rsid w:val="3D1C31D0"/>
    <w:rsid w:val="3ECD11AB"/>
    <w:rsid w:val="3F2B4883"/>
    <w:rsid w:val="41D67276"/>
    <w:rsid w:val="42A61C74"/>
    <w:rsid w:val="42E9170E"/>
    <w:rsid w:val="43BD7978"/>
    <w:rsid w:val="44345155"/>
    <w:rsid w:val="448E4BC9"/>
    <w:rsid w:val="448F6B3A"/>
    <w:rsid w:val="45227AF8"/>
    <w:rsid w:val="454D3C30"/>
    <w:rsid w:val="458D1B72"/>
    <w:rsid w:val="4789254C"/>
    <w:rsid w:val="4B725A41"/>
    <w:rsid w:val="4BE82A4F"/>
    <w:rsid w:val="4C510188"/>
    <w:rsid w:val="4C6C4F33"/>
    <w:rsid w:val="4C8D6D3F"/>
    <w:rsid w:val="4CBA32E1"/>
    <w:rsid w:val="4D1959C1"/>
    <w:rsid w:val="4F5E791D"/>
    <w:rsid w:val="4FBD263B"/>
    <w:rsid w:val="55E6360E"/>
    <w:rsid w:val="57D07432"/>
    <w:rsid w:val="5C2B7C22"/>
    <w:rsid w:val="5CB839E2"/>
    <w:rsid w:val="5E4A20CD"/>
    <w:rsid w:val="5EAD270C"/>
    <w:rsid w:val="609820D2"/>
    <w:rsid w:val="64230B55"/>
    <w:rsid w:val="64D608B5"/>
    <w:rsid w:val="660A444F"/>
    <w:rsid w:val="66BF6EA0"/>
    <w:rsid w:val="66E6541B"/>
    <w:rsid w:val="68024046"/>
    <w:rsid w:val="69AF145F"/>
    <w:rsid w:val="6AD273B5"/>
    <w:rsid w:val="70E40553"/>
    <w:rsid w:val="72115020"/>
    <w:rsid w:val="72651D84"/>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qFormat/>
    <w:uiPriority w:val="99"/>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basedOn w:val="1"/>
    <w:link w:val="69"/>
    <w:qFormat/>
    <w:uiPriority w:val="0"/>
    <w:pPr>
      <w:widowControl w:val="0"/>
    </w:pPr>
    <w:rPr>
      <w:rFonts w:ascii="Arial" w:hAnsi="Arial"/>
      <w:b/>
      <w:sz w:val="18"/>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link w:val="103"/>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 w:type="character" w:customStyle="1" w:styleId="103">
    <w:name w:val="List Paragraph Char"/>
    <w:link w:val="72"/>
    <w:qFormat/>
    <w:locked/>
    <w:uiPriority w:val="34"/>
    <w:rPr>
      <w:rFonts w:ascii="Times New Roman" w:hAnsi="Times New Roman" w:eastAsia="Times New Roman"/>
      <w:lang w:val="en-GB" w:eastAsia="en-GB" w:bidi="ar-SA"/>
    </w:rPr>
  </w:style>
  <w:style w:type="paragraph" w:customStyle="1" w:styleId="104">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5</Pages>
  <Words>925</Words>
  <Characters>5654</Characters>
  <Lines>141</Lines>
  <Paragraphs>111</Paragraphs>
  <TotalTime>55</TotalTime>
  <ScaleCrop>false</ScaleCrop>
  <LinksUpToDate>false</LinksUpToDate>
  <CharactersWithSpaces>6468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CMCC-shiyuan-V2</cp:lastModifiedBy>
  <dcterms:modified xsi:type="dcterms:W3CDTF">2025-04-10T15:57:53Z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2052-12.8.2.18205</vt:lpwstr>
  </property>
  <property fmtid="{D5CDD505-2E9C-101B-9397-08002B2CF9AE}" pid="15" name="ICV">
    <vt:lpwstr>633DFDB7C5CE4ABEA70C69A11FBF1825</vt:lpwstr>
  </property>
</Properties>
</file>